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E59D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C6A7C84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37D4E8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14:paraId="24EF92FD" w14:textId="1F609502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09">
        <w:rPr>
          <w:rFonts w:ascii="Times New Roman" w:hAnsi="Times New Roman" w:cs="Times New Roman"/>
          <w:sz w:val="24"/>
          <w:szCs w:val="24"/>
        </w:rPr>
        <w:t>68-1</w:t>
      </w:r>
      <w:r w:rsidR="00DA323D">
        <w:rPr>
          <w:rFonts w:ascii="Times New Roman" w:hAnsi="Times New Roman" w:cs="Times New Roman"/>
          <w:sz w:val="24"/>
          <w:szCs w:val="24"/>
        </w:rPr>
        <w:t>8</w:t>
      </w:r>
    </w:p>
    <w:p w14:paraId="15E6AB0F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D2C4D" w14:textId="59252F91" w:rsidR="007F0297" w:rsidRPr="00D73C09" w:rsidRDefault="007F0297" w:rsidP="007F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F3671D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выборов депутатов </w:t>
      </w:r>
      <w:r w:rsidR="00F3671D" w:rsidRPr="00F3671D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                 Санкт-Петербурга муниципальный округ Коломяги седьмого созыва</w:t>
      </w:r>
    </w:p>
    <w:p w14:paraId="28196CAF" w14:textId="47B68E32" w:rsidR="002530E1" w:rsidRPr="00D73C09" w:rsidRDefault="002530E1" w:rsidP="002C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B4332" w14:textId="77777777" w:rsidR="00D4023E" w:rsidRDefault="00D4023E" w:rsidP="002530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FDDC43" w14:textId="777777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F0112FB" w14:textId="4A07BFFF" w:rsidR="00141F66" w:rsidRPr="00C532DA" w:rsidRDefault="00D4023E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47</w:t>
      </w:r>
      <w:r w:rsidR="00E64114"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  <w:r w:rsidR="00F5338F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62A5E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46F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Санкт-Петербурга) к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на выборах депутатов </w:t>
      </w:r>
      <w:r w:rsidR="00260223" w:rsidRPr="00CE1C7C">
        <w:rPr>
          <w:rFonts w:ascii="Times New Roman" w:hAnsi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 w:rsidR="00260223">
        <w:rPr>
          <w:rFonts w:ascii="Times New Roman" w:hAnsi="Times New Roman"/>
          <w:sz w:val="28"/>
          <w:szCs w:val="28"/>
        </w:rPr>
        <w:t xml:space="preserve"> </w:t>
      </w:r>
      <w:r w:rsidR="00260223" w:rsidRPr="00CE1C7C">
        <w:rPr>
          <w:rFonts w:ascii="Times New Roman" w:hAnsi="Times New Roman"/>
          <w:sz w:val="28"/>
          <w:szCs w:val="28"/>
        </w:rPr>
        <w:t xml:space="preserve">Санкт-Петербурга муниципальный округ Коломяги седьмого созыва 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кандидат) обязан создать собственный избирательный фонд для финансирования своей избирательной кампании в период после письменного уведомления 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022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полномочия окружных избирательных комиссий многомандатных избирательных округов №№ </w:t>
      </w:r>
      <w:r w:rsidR="00260223">
        <w:rPr>
          <w:rFonts w:ascii="Times New Roman" w:eastAsia="Times New Roman" w:hAnsi="Times New Roman" w:cs="Times New Roman"/>
          <w:sz w:val="28"/>
          <w:szCs w:val="28"/>
          <w:lang w:eastAsia="ru-RU"/>
        </w:rPr>
        <w:t>206, 207, 208, 209, 210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 </w:t>
      </w:r>
      <w:r w:rsidR="00260223" w:rsidRPr="00CE1C7C">
        <w:rPr>
          <w:rFonts w:ascii="Times New Roman" w:hAnsi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 w:rsidR="00260223">
        <w:rPr>
          <w:rFonts w:ascii="Times New Roman" w:hAnsi="Times New Roman"/>
          <w:sz w:val="28"/>
          <w:szCs w:val="28"/>
        </w:rPr>
        <w:t xml:space="preserve"> </w:t>
      </w:r>
      <w:r w:rsidR="00260223" w:rsidRPr="00CE1C7C">
        <w:rPr>
          <w:rFonts w:ascii="Times New Roman" w:hAnsi="Times New Roman"/>
          <w:sz w:val="28"/>
          <w:szCs w:val="28"/>
        </w:rPr>
        <w:t xml:space="preserve">Санкт-Петербурга муниципальный округ Коломяги </w:t>
      </w:r>
      <w:r w:rsidR="000C3D20"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C532DA"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32DA"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выдвижении (самовыдвижении) 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представления до</w:t>
      </w:r>
      <w:r w:rsidR="000C3D20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для его регистрации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F66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42140D" w14:textId="77777777"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14:paraId="6D083413" w14:textId="0ACE7C9D"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</w:t>
      </w:r>
      <w:r w:rsidR="00C532DA">
        <w:rPr>
          <w:rFonts w:ascii="Times New Roman" w:eastAsia="Calibri" w:hAnsi="Times New Roman" w:cs="Times New Roman"/>
          <w:sz w:val="28"/>
          <w:szCs w:val="28"/>
        </w:rPr>
        <w:t>3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2B8AE" w14:textId="66C43B75" w:rsidR="002530E1" w:rsidRP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</w:t>
      </w:r>
      <w:r w:rsidR="00C532DA">
        <w:rPr>
          <w:rFonts w:ascii="Times New Roman" w:eastAsia="Calibri" w:hAnsi="Times New Roman" w:cs="Times New Roman"/>
          <w:sz w:val="28"/>
          <w:szCs w:val="28"/>
        </w:rPr>
        <w:t>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</w:t>
      </w:r>
      <w:r w:rsidR="00D80826" w:rsidRPr="00C532DA">
        <w:rPr>
          <w:rFonts w:ascii="Times New Roman" w:eastAsia="Calibri" w:hAnsi="Times New Roman" w:cs="Times New Roman"/>
          <w:sz w:val="28"/>
          <w:szCs w:val="28"/>
        </w:rPr>
        <w:t xml:space="preserve">соответствующей </w:t>
      </w:r>
      <w:r w:rsidR="00C532DA" w:rsidRP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E4970" w:rsidRPr="00C532DA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428E99" w14:textId="00CBF9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14:paraId="0265690A" w14:textId="77777777"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7B55DD" w14:textId="0135843F"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 обязан вести учет поступления и расходования средств своего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по каждой операции, произведенной по специальному избирательному счету кандидата.</w:t>
      </w:r>
    </w:p>
    <w:p w14:paraId="2199BFBA" w14:textId="5740F6AF"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14:paraId="225D1522" w14:textId="5F3E510D"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8008A62" w14:textId="5F2285D4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7C9CFAA" w14:textId="16646BD0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430B13C" w14:textId="2060E44F"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13DCBEE" w14:textId="0F7AEBF1"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3,59 руб.</w:t>
      </w:r>
    </w:p>
    <w:p w14:paraId="2B0C03AB" w14:textId="287BEF0A"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1B46B44C" w14:textId="25AC9E9C"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9F261" w14:textId="200A7E58"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bookmarkStart w:id="0" w:name="Par1"/>
      <w:bookmarkEnd w:id="0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14:paraId="6BC15C19" w14:textId="4D9DAACB"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с нарушением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</w:p>
    <w:p w14:paraId="6A9A0ECA" w14:textId="2BA735D5"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471DE" w14:textId="18646CF4"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</w:t>
      </w:r>
      <w:r w:rsidR="001D407B">
        <w:rPr>
          <w:rFonts w:ascii="Times New Roman" w:hAnsi="Times New Roman" w:cs="Times New Roman"/>
          <w:sz w:val="28"/>
          <w:szCs w:val="28"/>
        </w:rPr>
        <w:t xml:space="preserve"> </w:t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14:paraId="39B13BE6" w14:textId="2C2FFCE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вопросам.</w:t>
      </w:r>
    </w:p>
    <w:p w14:paraId="5F53AFC2" w14:textId="4FE09D69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14:paraId="288A9113" w14:textId="63809DFD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могут использоваться на:</w:t>
      </w:r>
    </w:p>
    <w:p w14:paraId="66EC5972" w14:textId="6112BB68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14305890" w14:textId="147CD93A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14:paraId="1DC2403D" w14:textId="2B727272"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кампании.</w:t>
      </w:r>
    </w:p>
    <w:p w14:paraId="40273947" w14:textId="40870459"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избирательной кампанией кандидата, заключаются лично кандидатом либо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по договору обязательств. Любые выплаты наличных денежных средств гражданам и юридическим лицам по договорам на выполнение работ (оказание услуг), связанных с избирательной кампанией, запрещаются.</w:t>
      </w:r>
    </w:p>
    <w:p w14:paraId="3BCD3FD2" w14:textId="0E3B206A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260223" w:rsidRPr="00CE1C7C">
        <w:rPr>
          <w:rFonts w:ascii="Times New Roman" w:hAnsi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 w:rsidR="00260223">
        <w:rPr>
          <w:rFonts w:ascii="Times New Roman" w:hAnsi="Times New Roman"/>
          <w:sz w:val="28"/>
          <w:szCs w:val="28"/>
        </w:rPr>
        <w:t xml:space="preserve"> </w:t>
      </w:r>
      <w:r w:rsidR="00260223" w:rsidRPr="00CE1C7C">
        <w:rPr>
          <w:rFonts w:ascii="Times New Roman" w:hAnsi="Times New Roman"/>
          <w:sz w:val="28"/>
          <w:szCs w:val="28"/>
        </w:rPr>
        <w:t>Санкт-Петербурга муниципальный округ Коломяги</w:t>
      </w:r>
      <w:r w:rsidR="00260223">
        <w:rPr>
          <w:rFonts w:ascii="Times New Roman" w:hAnsi="Times New Roman"/>
          <w:sz w:val="28"/>
          <w:szCs w:val="28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 (оказания услуг).</w:t>
      </w:r>
    </w:p>
    <w:p w14:paraId="4C162BC3" w14:textId="01AFF78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14:paraId="0999B4D4" w14:textId="493EB2ED"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D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оплачиваемых работ, реализация товаров, оказание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AEC73" w14:textId="66628D60"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14:paraId="660DE3E6" w14:textId="59ADA549"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предвыборные агитационные материалы должны изготавливаться на территории Российской Федерации.</w:t>
      </w:r>
    </w:p>
    <w:p w14:paraId="3DECCC84" w14:textId="34CDE878"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EB540" w14:textId="1913E321"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14:paraId="722C3529" w14:textId="70FF8D41"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 xml:space="preserve">в полном объеме средств в счет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условия предоставление эфирного времени, печатной площади не допускается.</w:t>
      </w:r>
    </w:p>
    <w:p w14:paraId="250048BA" w14:textId="677B15D8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специального избирательного счета кандидата.</w:t>
      </w:r>
    </w:p>
    <w:p w14:paraId="16F2D187" w14:textId="5CAB05CB"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разместил эту публикацию.</w:t>
      </w:r>
    </w:p>
    <w:p w14:paraId="7C5CE63B" w14:textId="27C356A3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отчество, наименование субъекта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14:paraId="12F95C7F" w14:textId="2A3A2B61"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6D449664" w14:textId="2AFD36B1"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14:paraId="035E3FBE" w14:textId="753A8A15"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1C01A10" w14:textId="0B8668FA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и тираж агитационного материала, а также реквизиты договора на его изготовление.</w:t>
      </w:r>
    </w:p>
    <w:p w14:paraId="51B4C0F0" w14:textId="78DF5653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1E5A8AF6" w14:textId="720B98A4"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копии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аудиовизуальных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</w:t>
      </w:r>
      <w:r w:rsidR="001D407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Arial" w:hAnsi="Times New Roman" w:cs="Times New Roman"/>
          <w:sz w:val="28"/>
          <w:szCs w:val="28"/>
          <w:lang w:eastAsia="ru-RU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>копия документа об оплате изготовления данных предвыборных агитационных материалов из избирательного фонда кандидата, а также электронные образы этих материалов в машиночитаемом виде.</w:t>
      </w:r>
    </w:p>
    <w:p w14:paraId="1291B5B1" w14:textId="787C84C8"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 xml:space="preserve">Проведение предвыборной агитации в день, предшествующий дню </w:t>
      </w:r>
      <w:r w:rsidR="003659B5" w:rsidRPr="003659B5">
        <w:rPr>
          <w:rFonts w:ascii="Times New Roman" w:hAnsi="Times New Roman" w:cs="Times New Roman"/>
          <w:sz w:val="28"/>
          <w:szCs w:val="28"/>
        </w:rPr>
        <w:lastRenderedPageBreak/>
        <w:t>голосования, запрещается, за исключением предвыборной агитации, проводимой в день, 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14:paraId="7AF41539" w14:textId="36E6322E"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целом по Российской Федерации на душу населения за единицу продукции;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1C47CD80" w14:textId="77777777" w:rsidR="00D73C09" w:rsidRDefault="00D73C09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29EB8EC6" w14:textId="77E56BD2" w:rsidR="0066431A" w:rsidRDefault="002530E1" w:rsidP="00D73C0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t>Отчетность по средствам избирательных фондов</w:t>
      </w:r>
    </w:p>
    <w:p w14:paraId="6A238685" w14:textId="77777777" w:rsidR="00D73C09" w:rsidRPr="00D73C09" w:rsidRDefault="00D73C09" w:rsidP="00D73C09">
      <w:pPr>
        <w:pStyle w:val="ac"/>
        <w:autoSpaceDE w:val="0"/>
        <w:autoSpaceDN w:val="0"/>
        <w:adjustRightInd w:val="0"/>
        <w:spacing w:after="120" w:line="240" w:lineRule="auto"/>
        <w:ind w:left="448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5D199" w14:textId="0E33D8EB"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представляет в 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его формирования, а также обо всех расходах, произведенных за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9DCF" w14:textId="2D27B463"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Кандидат не позднее чем через 30 дней со дня официального опубликования результатов выборов обязан представить в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</w:p>
    <w:p w14:paraId="689D487D" w14:textId="1BBB4BC2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3.1, 3.2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их получения передаются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средств массовой информации для опубликования. </w:t>
      </w:r>
    </w:p>
    <w:p w14:paraId="30E26F87" w14:textId="6DAE8EE1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F4964" w14:textId="3EBDC68C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6 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45B8BC9" w14:textId="7D11910A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EC456" w14:textId="08B559C4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F5C0B" w14:textId="0D80FF3D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E35EF8" w14:textId="5870306F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7 к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BED7D6" w14:textId="5DEFE35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Санкт-Петербурга.</w:t>
      </w:r>
    </w:p>
    <w:p w14:paraId="7A6B3914" w14:textId="209E9988"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2C5ED2D4" w14:textId="77777777"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представителем кандидата по финансовым вопросам.</w:t>
      </w:r>
    </w:p>
    <w:p w14:paraId="7E79BCB5" w14:textId="4F27E5A3"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списания денежных средств.</w:t>
      </w:r>
    </w:p>
    <w:p w14:paraId="3690B4D0" w14:textId="51088D28"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сброшюрованном виде и иметь сквозную нумерацию страниц, включая приложения. </w:t>
      </w:r>
    </w:p>
    <w:p w14:paraId="14CDAFA1" w14:textId="77777777"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расходования денежных средств избирательного фонда кандидата, пояснительную записку (в случае необходимости) и опись документов рекомендуется брошюровать отдельно от комплекта первичных финансовых документов. </w:t>
      </w:r>
    </w:p>
    <w:p w14:paraId="1F49631E" w14:textId="5348F2C2"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14:paraId="1F27B1A7" w14:textId="3095D0C6"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C7F5E6" w14:textId="618CF5C7"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3C0035B2" w14:textId="04DBFC84" w:rsidR="00180613" w:rsidRDefault="00180613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 проводится проверка итоговых финансовых отчетов, а также документов и материалов, прилагаемых к нему. По результатам проверки </w:t>
      </w:r>
      <w:r w:rsid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874203" w14:textId="77777777" w:rsidR="005B3DCA" w:rsidRDefault="005B3DCA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79FA6DBE" w14:textId="77777777"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14:paraId="175105F1" w14:textId="77777777"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14:paraId="1A5DA207" w14:textId="77777777" w:rsidR="0066431A" w:rsidRPr="001C0497" w:rsidRDefault="0066431A" w:rsidP="00664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1DB838" w14:textId="1AC96CC3"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C532D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14:paraId="77C920C0" w14:textId="3030EF5F"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lastRenderedPageBreak/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46652901" w14:textId="03912523" w:rsidR="009D0D69" w:rsidRPr="00854A8C" w:rsidRDefault="00EE2946" w:rsidP="00854A8C">
      <w:r>
        <w:br w:type="page"/>
      </w:r>
    </w:p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7F0297"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7B6DBED" w14:textId="687956CA" w:rsidR="002530E1" w:rsidRPr="002530E1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260223" w:rsidRPr="00260223">
              <w:rPr>
                <w:rFonts w:ascii="Times New Roman" w:hAnsi="Times New Roman"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      </w:r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0F1D529D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2503C07F" w14:textId="77777777" w:rsidR="002530E1" w:rsidRDefault="002530E1" w:rsidP="002530E1"/>
    <w:p w14:paraId="1BFC9A7C" w14:textId="77777777" w:rsidR="002530E1" w:rsidRDefault="002530E1" w:rsidP="002530E1">
      <w:pPr>
        <w:sectPr w:rsidR="002530E1" w:rsidSect="00C8239B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2530E1" w:rsidRPr="002530E1" w14:paraId="172B5ECF" w14:textId="77777777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14:paraId="7AC9EF18" w14:textId="10E2190F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FE66135" w14:textId="0608E77B" w:rsidR="005D0101" w:rsidRPr="00D73C09" w:rsidRDefault="007F0297" w:rsidP="007C345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260223" w:rsidRPr="00260223">
              <w:rPr>
                <w:rFonts w:ascii="Times New Roman" w:hAnsi="Times New Roman"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      </w:r>
          </w:p>
          <w:p w14:paraId="19C140C9" w14:textId="77777777" w:rsidR="002530E1" w:rsidRDefault="002530E1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DF0F5A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E0EA36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109A" w14:textId="77777777"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37CEDE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566F14" w:rsidRPr="002530E1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44A6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5ECAF4ED" w14:textId="7E5C4B8E" w:rsidR="005D0101" w:rsidRPr="000304B6" w:rsidRDefault="002530E1" w:rsidP="00661321">
      <w:pPr>
        <w:pStyle w:val="ad"/>
        <w:rPr>
          <w:b w:val="0"/>
          <w:sz w:val="20"/>
        </w:rPr>
      </w:pPr>
      <w:r w:rsidRPr="00661321">
        <w:rPr>
          <w:b w:val="0"/>
          <w:sz w:val="22"/>
          <w:szCs w:val="22"/>
        </w:rPr>
        <w:t xml:space="preserve">являющийся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  <w:gridCol w:w="37"/>
      </w:tblGrid>
      <w:tr w:rsidR="002530E1" w:rsidRPr="002530E1" w14:paraId="7CD9BA25" w14:textId="77777777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2B231B44" w14:textId="59CD94FD"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14:paraId="3AF1A9E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9BC07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3ABB8D79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0C311747" w14:textId="77777777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6260D9FB" w14:textId="77777777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77777777"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38974C2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139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082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7855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446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3"/>
        <w:gridCol w:w="1229"/>
        <w:gridCol w:w="3272"/>
      </w:tblGrid>
      <w:tr w:rsidR="002530E1" w:rsidRPr="002530E1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C5DF971" w14:textId="77777777" w:rsidR="002530E1" w:rsidRDefault="002530E1" w:rsidP="002530E1"/>
    <w:p w14:paraId="3C377018" w14:textId="77777777" w:rsidR="002530E1" w:rsidRDefault="002530E1" w:rsidP="002530E1"/>
    <w:p w14:paraId="35D40EED" w14:textId="77777777" w:rsidR="002530E1" w:rsidRDefault="002530E1" w:rsidP="002530E1"/>
    <w:p w14:paraId="234D7B82" w14:textId="77777777" w:rsidR="002530E1" w:rsidRDefault="002530E1" w:rsidP="002530E1"/>
    <w:p w14:paraId="6E87E2CB" w14:textId="77777777" w:rsidR="002530E1" w:rsidRDefault="002530E1" w:rsidP="002530E1"/>
    <w:p w14:paraId="6E148B44" w14:textId="77777777" w:rsidR="002530E1" w:rsidRDefault="002530E1" w:rsidP="002530E1"/>
    <w:p w14:paraId="252FA3EB" w14:textId="77777777" w:rsidR="002530E1" w:rsidRDefault="002530E1" w:rsidP="002530E1"/>
    <w:p w14:paraId="2FB03DB9" w14:textId="77777777" w:rsidR="002530E1" w:rsidRDefault="002530E1" w:rsidP="002530E1"/>
    <w:p w14:paraId="173CA366" w14:textId="77777777" w:rsidR="002530E1" w:rsidRDefault="002530E1" w:rsidP="002530E1"/>
    <w:p w14:paraId="0C553495" w14:textId="77777777" w:rsidR="008B2D98" w:rsidRDefault="008B2D98" w:rsidP="002530E1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59"/>
      </w:tblGrid>
      <w:tr w:rsidR="002530E1" w:rsidRPr="002530E1" w14:paraId="5E1C3299" w14:textId="77777777" w:rsidTr="00661321">
        <w:tc>
          <w:tcPr>
            <w:tcW w:w="283" w:type="dxa"/>
          </w:tcPr>
          <w:p w14:paraId="3BCEF8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14:paraId="0E173521" w14:textId="35CB950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2B5DE019" w14:textId="0594A001" w:rsidR="00661321" w:rsidRPr="00D73C09" w:rsidRDefault="007F0297" w:rsidP="007C345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260223" w:rsidRPr="00260223">
              <w:rPr>
                <w:rFonts w:ascii="Times New Roman" w:hAnsi="Times New Roman"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      </w:r>
          </w:p>
          <w:p w14:paraId="00C139C6" w14:textId="77777777" w:rsidR="002530E1" w:rsidRDefault="002530E1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20BCB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4B6ADFE5" w14:textId="77777777"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CE12B0" w14:textId="77777777"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AFD47C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77E46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566F14" w:rsidRPr="008A5553" w14:paraId="1D9B377D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65342C7A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6AC70DA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0724F1D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7"/>
        <w:gridCol w:w="35"/>
      </w:tblGrid>
      <w:tr w:rsidR="002530E1" w:rsidRPr="002530E1" w14:paraId="15FFAF5A" w14:textId="77777777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71FABD08" w14:textId="77777777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14:paraId="536AC7D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DB5C" w14:textId="77777777"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1BA824CC" w14:textId="1C987490"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9163137" w14:textId="77777777"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14:paraId="5DED2C1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6AC40857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409F578B" w14:textId="77777777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CF97703" w14:textId="77777777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49578DF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F5CA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433A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F2EF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2530E1" w:rsidRPr="002530E1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9994E0D" w14:textId="77777777" w:rsidR="002530E1" w:rsidRDefault="002530E1" w:rsidP="002530E1"/>
    <w:p w14:paraId="19541634" w14:textId="77777777" w:rsidR="002530E1" w:rsidRDefault="002530E1" w:rsidP="002530E1"/>
    <w:p w14:paraId="49E47553" w14:textId="77777777" w:rsidR="002530E1" w:rsidRDefault="002530E1" w:rsidP="002530E1"/>
    <w:p w14:paraId="5C75BFFA" w14:textId="77777777" w:rsidR="002530E1" w:rsidRDefault="002530E1" w:rsidP="002530E1"/>
    <w:p w14:paraId="2C52B6F5" w14:textId="77777777" w:rsidR="009E499E" w:rsidRDefault="009E499E" w:rsidP="002530E1"/>
    <w:p w14:paraId="5B69DEDA" w14:textId="77777777" w:rsidR="002530E1" w:rsidRDefault="002530E1" w:rsidP="002530E1"/>
    <w:p w14:paraId="07972E1C" w14:textId="301FFA93" w:rsidR="002530E1" w:rsidRDefault="002530E1" w:rsidP="002530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77A902AB" w14:textId="587372D9" w:rsidR="00D73C09" w:rsidRPr="00D73C09" w:rsidRDefault="007F0297" w:rsidP="00D73C09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="00260223" w:rsidRPr="00260223">
        <w:rPr>
          <w:rFonts w:ascii="Times New Roman" w:hAnsi="Times New Roman"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</w:p>
    <w:p w14:paraId="6762CBF0" w14:textId="2ADCE77A" w:rsidR="00194FDF" w:rsidRPr="00194FDF" w:rsidRDefault="00194FDF" w:rsidP="00D73C09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(рекомендуемая форма)</w:t>
      </w:r>
    </w:p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0163F318" w14:textId="77777777"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14:paraId="72718E2C" w14:textId="0BA4C7ED"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)</w:t>
      </w:r>
    </w:p>
    <w:p w14:paraId="09681F8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14:paraId="7A8D5E11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1C5EB9F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791057D8" w14:textId="77777777"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0306FEFF" w14:textId="5855AF74"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</w:p>
    <w:p w14:paraId="3E712420" w14:textId="60E3F0DF"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)</w:t>
      </w:r>
    </w:p>
    <w:p w14:paraId="4061C8B8" w14:textId="77777777"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83AEE8" w14:textId="025E1BE1"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2530E1" w:rsidRPr="002530E1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CA224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CC867D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54503217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39E7D8A" w14:textId="77777777"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14:paraId="1242E12A" w14:textId="77777777"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(подпись, фамилия, инициалы, дата)</w:t>
      </w:r>
    </w:p>
    <w:p w14:paraId="0369800D" w14:textId="77777777" w:rsidR="008B2D98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7B2FDC" w14:textId="77777777" w:rsidR="00DA323D" w:rsidRDefault="00DA323D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9B00D3" w14:textId="77777777" w:rsidR="00DA323D" w:rsidRDefault="00DA323D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577C20" w14:textId="77777777" w:rsidR="00DA323D" w:rsidRDefault="00DA323D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71E9BE8" w14:textId="77777777" w:rsidR="00DA323D" w:rsidRDefault="00DA323D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E4352B8" w14:textId="77777777" w:rsidR="00DA323D" w:rsidRDefault="00DA323D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59CEA9" w14:textId="77777777" w:rsidR="00DA323D" w:rsidRDefault="00DA323D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6221EE" w14:textId="77777777"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530E1" w:rsidRPr="002530E1" w14:paraId="2365CEB5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EFB028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9D4B7C" w14:textId="7751A854"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14:paraId="3FAA65D8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3B7B692" w14:textId="77777777"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BB726A" w14:textId="5DE14096" w:rsidR="002530E1" w:rsidRPr="00D73C09" w:rsidRDefault="007F0297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260223" w:rsidRPr="00260223">
              <w:rPr>
                <w:rFonts w:ascii="Times New Roman" w:hAnsi="Times New Roman"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      </w:r>
            <w:r w:rsidR="00260223" w:rsidRPr="00CE1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C0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F39BBC" w14:textId="19C84413" w:rsidR="00D73C09" w:rsidRPr="00D73C09" w:rsidRDefault="00D73C09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77777777"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53DF09CF"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1" w:name="_bookmark8"/>
            <w:bookmarkEnd w:id="1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</w:t>
            </w:r>
            <w:proofErr w:type="gramEnd"/>
            <w:r>
              <w:rPr>
                <w:b/>
                <w:position w:val="1"/>
                <w:sz w:val="20"/>
                <w:lang w:val="ru-RU"/>
              </w:rPr>
              <w:t xml:space="preserve">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296DF153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FEA3EA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518C4029" w14:textId="77777777" w:rsidR="00EE2946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0C86555E" w14:textId="741E5B36" w:rsidR="002530E1" w:rsidRPr="002530E1" w:rsidRDefault="002530E1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14:paraId="18859CEA" w14:textId="11486126" w:rsidR="002530E1" w:rsidRPr="00D73C09" w:rsidRDefault="007F0297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="00260223" w:rsidRPr="00260223">
        <w:rPr>
          <w:rFonts w:ascii="Times New Roman" w:hAnsi="Times New Roman"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</w:p>
    <w:p w14:paraId="58E18576" w14:textId="77777777" w:rsidR="00286EA5" w:rsidRDefault="00286EA5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EC9F282" w14:textId="77777777"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14:paraId="04693B9F" w14:textId="77777777"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542106CC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0E9741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8B2D98" w:rsidRPr="002530E1" w14:paraId="6459EF9A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4CD559B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6949CE0B" w14:textId="77777777"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11AB0EB3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14:paraId="6A5FA185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469DE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171E61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14:paraId="039C0FB6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51358BD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40172A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C56B32" w14:textId="38D95D13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AE14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14:paraId="68622E01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198BDB85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25713A29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14:paraId="49CF7285" w14:textId="713DB294"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3669317B" w14:textId="77777777" w:rsidR="002530E1" w:rsidRDefault="002530E1" w:rsidP="002530E1">
      <w:pPr>
        <w:sectPr w:rsidR="002530E1" w:rsidSect="00C64BC1">
          <w:headerReference w:type="default" r:id="rId11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2530E1" w:rsidRPr="002530E1" w14:paraId="5528FB66" w14:textId="77777777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9C1B5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BD2BD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3A48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BCC70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2C69E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E6ACC4" w14:textId="62590F95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F7E8E62" w14:textId="699CD464" w:rsidR="002530E1" w:rsidRPr="00531A0D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260223" w:rsidRPr="00260223">
              <w:rPr>
                <w:rFonts w:ascii="Times New Roman" w:hAnsi="Times New Roman"/>
                <w:sz w:val="20"/>
                <w:szCs w:val="20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      </w:r>
          </w:p>
        </w:tc>
      </w:tr>
    </w:tbl>
    <w:p w14:paraId="204161E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B43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4B6F4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F8C876" w14:textId="77777777"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F2F569E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AE011" w14:textId="77777777"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8B2D98" w:rsidRPr="002530E1" w14:paraId="7475677E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012989C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7105046" w14:textId="77777777"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7E45EE1" w14:textId="77777777"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2530E1" w:rsidRPr="002530E1" w14:paraId="1369A42E" w14:textId="77777777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41E07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6063B6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277DCFF1" w14:textId="77777777"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14:paraId="415D150F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14:paraId="4F102CFD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9AC1B3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B70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9BC9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1F9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2530E1" w:rsidRPr="002530E1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2965B829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3E56B2EB" w14:textId="77777777"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1F1AB9CA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0A188C5A" w14:textId="77777777" w:rsidR="002530E1" w:rsidRDefault="002530E1" w:rsidP="002530E1"/>
    <w:sectPr w:rsidR="002530E1" w:rsidSect="00C8239B">
      <w:headerReference w:type="first" r:id="rId12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FF3E" w14:textId="77777777" w:rsidR="00C30D40" w:rsidRDefault="00C30D40" w:rsidP="002530E1">
      <w:pPr>
        <w:spacing w:after="0" w:line="240" w:lineRule="auto"/>
      </w:pPr>
      <w:r>
        <w:separator/>
      </w:r>
    </w:p>
  </w:endnote>
  <w:endnote w:type="continuationSeparator" w:id="0">
    <w:p w14:paraId="5C127A5A" w14:textId="77777777" w:rsidR="00C30D40" w:rsidRDefault="00C30D40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E23F" w14:textId="77777777" w:rsidR="00C30D40" w:rsidRDefault="00C30D40" w:rsidP="002530E1">
      <w:pPr>
        <w:spacing w:after="0" w:line="240" w:lineRule="auto"/>
      </w:pPr>
      <w:r>
        <w:separator/>
      </w:r>
    </w:p>
  </w:footnote>
  <w:footnote w:type="continuationSeparator" w:id="0">
    <w:p w14:paraId="28FBB9AE" w14:textId="77777777" w:rsidR="00C30D40" w:rsidRDefault="00C30D40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2029A" w:rsidRPr="00767961" w:rsidRDefault="0062029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2029A" w:rsidRPr="00C209C9" w:rsidRDefault="0062029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2029A" w:rsidRPr="00767961" w:rsidRDefault="0062029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2029A" w:rsidRPr="00767961" w:rsidRDefault="0062029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14:paraId="1DFA7958" w14:textId="730EC0E2" w:rsidR="0062029A" w:rsidRPr="006E7474" w:rsidRDefault="0062029A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14:paraId="2D0DE1BD" w14:textId="77777777" w:rsidR="0062029A" w:rsidRPr="006E7474" w:rsidRDefault="0062029A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62029A" w:rsidRDefault="0062029A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14:paraId="0FA8F2D4" w14:textId="77777777" w:rsidR="0062029A" w:rsidRDefault="0062029A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3C2FDC" w14:textId="77777777" w:rsidR="0062029A" w:rsidRPr="00C8239B" w:rsidRDefault="006202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04F159" w14:textId="77777777" w:rsidR="0062029A" w:rsidRDefault="006202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7E7B" w14:textId="77777777" w:rsidR="0062029A" w:rsidRDefault="0062029A" w:rsidP="002530E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2D17" w14:textId="77777777" w:rsidR="0062029A" w:rsidRPr="00F26167" w:rsidRDefault="0062029A" w:rsidP="00F2616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77777777" w:rsidR="0062029A" w:rsidRPr="00C8239B" w:rsidRDefault="0062029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23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CD59CA" w14:textId="77777777" w:rsidR="0062029A" w:rsidRPr="00C8239B" w:rsidRDefault="0062029A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2029A" w:rsidRPr="00F26167" w:rsidRDefault="0062029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655913339">
    <w:abstractNumId w:val="3"/>
  </w:num>
  <w:num w:numId="2" w16cid:durableId="1144392156">
    <w:abstractNumId w:val="4"/>
  </w:num>
  <w:num w:numId="3" w16cid:durableId="1784107134">
    <w:abstractNumId w:val="0"/>
  </w:num>
  <w:num w:numId="4" w16cid:durableId="349723616">
    <w:abstractNumId w:val="2"/>
  </w:num>
  <w:num w:numId="5" w16cid:durableId="661349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1CB8"/>
    <w:rsid w:val="001139E5"/>
    <w:rsid w:val="001173D4"/>
    <w:rsid w:val="00133289"/>
    <w:rsid w:val="00141F66"/>
    <w:rsid w:val="00147094"/>
    <w:rsid w:val="00156756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30E1"/>
    <w:rsid w:val="00260223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04DF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0EFC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97B18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038C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4370D"/>
    <w:rsid w:val="009530D0"/>
    <w:rsid w:val="00957886"/>
    <w:rsid w:val="00961B64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31A12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E6D41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30D40"/>
    <w:rsid w:val="00C335B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A323D"/>
    <w:rsid w:val="00DB6DBB"/>
    <w:rsid w:val="00DC6F3B"/>
    <w:rsid w:val="00DD2C8A"/>
    <w:rsid w:val="00DD65E4"/>
    <w:rsid w:val="00DD6C5F"/>
    <w:rsid w:val="00DD7511"/>
    <w:rsid w:val="00DD78A1"/>
    <w:rsid w:val="00E004E0"/>
    <w:rsid w:val="00E13BFB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3671D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2830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D00F38D7-E571-4AD0-9061-47050D2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56 TIK</cp:lastModifiedBy>
  <cp:revision>7</cp:revision>
  <cp:lastPrinted>2024-06-20T08:47:00Z</cp:lastPrinted>
  <dcterms:created xsi:type="dcterms:W3CDTF">2024-06-19T16:02:00Z</dcterms:created>
  <dcterms:modified xsi:type="dcterms:W3CDTF">2024-06-20T08:48:00Z</dcterms:modified>
</cp:coreProperties>
</file>